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203"/>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spacing w:before="203"/>
        <w:ind w:left="595" w:right="572" w:firstLine="0"/>
        <w:jc w:val="center"/>
        <w:rPr>
          <w:b/>
          <w:sz w:val="24"/>
        </w:rPr>
      </w:pPr>
      <w:r>
        <w:rPr>
          <w:b/>
          <w:sz w:val="24"/>
        </w:rPr>
        <w:t>CONVOCATORIA OPD/CMD/026</w:t>
      </w:r>
    </w:p>
    <w:p>
      <w:pPr>
        <w:spacing w:line="242" w:lineRule="auto" w:before="120"/>
        <w:ind w:left="596" w:right="572" w:firstLine="0"/>
        <w:jc w:val="center"/>
        <w:rPr>
          <w:sz w:val="24"/>
        </w:rPr>
      </w:pPr>
      <w:r>
        <w:rPr>
          <w:sz w:val="24"/>
        </w:rPr>
        <w:t>“SERVICIO DE ARRENDAMIENTO DE TABLONES Y SILLAS PARA EL TORNEO MUEVE TUS PIEZAS 2019 PARA EL COMUDE TLAJOMULCO”</w:t>
      </w:r>
    </w:p>
    <w:p>
      <w:pPr>
        <w:pStyle w:val="BodyText"/>
        <w:spacing w:before="0" w:after="1"/>
        <w:ind w:left="0"/>
        <w:jc w:val="left"/>
        <w:rPr>
          <w:sz w:val="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rPr>
                <w:sz w:val="18"/>
              </w:rPr>
            </w:pPr>
            <w:r>
              <w:rPr>
                <w:sz w:val="18"/>
              </w:rPr>
              <w:t>Fecha Publicación</w:t>
            </w:r>
          </w:p>
        </w:tc>
        <w:tc>
          <w:tcPr>
            <w:tcW w:w="4492" w:type="dxa"/>
          </w:tcPr>
          <w:p>
            <w:pPr>
              <w:pStyle w:val="TableParagraph"/>
              <w:spacing w:line="208" w:lineRule="exact"/>
              <w:rPr>
                <w:sz w:val="18"/>
              </w:rPr>
            </w:pPr>
            <w:r>
              <w:rPr>
                <w:sz w:val="18"/>
              </w:rPr>
              <w:t>14 de mayo de 2019</w:t>
            </w:r>
          </w:p>
        </w:tc>
      </w:tr>
      <w:tr>
        <w:trPr>
          <w:trHeight w:val="457" w:hRule="atLeast"/>
        </w:trPr>
        <w:tc>
          <w:tcPr>
            <w:tcW w:w="4489" w:type="dxa"/>
          </w:tcPr>
          <w:p>
            <w:pPr>
              <w:pStyle w:val="TableParagraph"/>
              <w:spacing w:line="227" w:lineRule="exact"/>
              <w:rPr>
                <w:sz w:val="18"/>
              </w:rPr>
            </w:pPr>
            <w:r>
              <w:rPr>
                <w:sz w:val="18"/>
              </w:rPr>
              <w:t>Aclaraciones</w:t>
            </w:r>
          </w:p>
        </w:tc>
        <w:tc>
          <w:tcPr>
            <w:tcW w:w="4492" w:type="dxa"/>
          </w:tcPr>
          <w:p>
            <w:pPr>
              <w:pStyle w:val="TableParagraph"/>
              <w:spacing w:line="227" w:lineRule="exact"/>
              <w:rPr>
                <w:sz w:val="18"/>
              </w:rPr>
            </w:pPr>
            <w:r>
              <w:rPr>
                <w:sz w:val="18"/>
              </w:rPr>
              <w:t>Al teléfono 01 (33) 32 83 44 00 Ext. 3260</w:t>
            </w:r>
          </w:p>
          <w:p>
            <w:pPr>
              <w:pStyle w:val="TableParagraph"/>
              <w:spacing w:line="209" w:lineRule="exact" w:before="1"/>
              <w:rPr>
                <w:sz w:val="18"/>
              </w:rPr>
            </w:pPr>
            <w:r>
              <w:rPr>
                <w:sz w:val="18"/>
              </w:rPr>
              <w:t>Oficinas COMUDE Tlajomulco</w:t>
            </w:r>
          </w:p>
        </w:tc>
      </w:tr>
      <w:tr>
        <w:trPr>
          <w:trHeight w:val="457" w:hRule="atLeast"/>
        </w:trPr>
        <w:tc>
          <w:tcPr>
            <w:tcW w:w="4489" w:type="dxa"/>
          </w:tcPr>
          <w:p>
            <w:pPr>
              <w:pStyle w:val="TableParagraph"/>
              <w:spacing w:line="227" w:lineRule="exact"/>
              <w:rPr>
                <w:sz w:val="18"/>
              </w:rPr>
            </w:pPr>
            <w:r>
              <w:rPr>
                <w:sz w:val="18"/>
              </w:rPr>
              <w:t>Fecha y hora límite para entrega de propuestas</w:t>
            </w:r>
          </w:p>
        </w:tc>
        <w:tc>
          <w:tcPr>
            <w:tcW w:w="4492" w:type="dxa"/>
          </w:tcPr>
          <w:p>
            <w:pPr>
              <w:pStyle w:val="TableParagraph"/>
              <w:spacing w:line="227" w:lineRule="exact"/>
              <w:rPr>
                <w:sz w:val="18"/>
              </w:rPr>
            </w:pPr>
            <w:r>
              <w:rPr>
                <w:sz w:val="18"/>
              </w:rPr>
              <w:t>23 de mayo de 2019 13:00 Oficinas de Contraloría</w:t>
            </w:r>
          </w:p>
          <w:p>
            <w:pPr>
              <w:pStyle w:val="TableParagraph"/>
              <w:spacing w:line="209" w:lineRule="exact" w:before="1"/>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Apertura de propuestas Se invita a los licitantes a</w:t>
            </w:r>
          </w:p>
          <w:p>
            <w:pPr>
              <w:pStyle w:val="TableParagraph"/>
              <w:spacing w:line="209" w:lineRule="exact" w:before="1"/>
              <w:rPr>
                <w:sz w:val="18"/>
              </w:rPr>
            </w:pPr>
            <w:r>
              <w:rPr>
                <w:sz w:val="18"/>
              </w:rPr>
              <w:t>participar en el evento</w:t>
            </w:r>
          </w:p>
        </w:tc>
        <w:tc>
          <w:tcPr>
            <w:tcW w:w="4492" w:type="dxa"/>
          </w:tcPr>
          <w:p>
            <w:pPr>
              <w:pStyle w:val="TableParagraph"/>
              <w:spacing w:line="227" w:lineRule="exact"/>
              <w:rPr>
                <w:sz w:val="18"/>
              </w:rPr>
            </w:pPr>
            <w:r>
              <w:rPr>
                <w:sz w:val="18"/>
              </w:rPr>
              <w:t>23 del mayo de 2019 13:00 Oficinas de Contraloría</w:t>
            </w:r>
          </w:p>
          <w:p>
            <w:pPr>
              <w:pStyle w:val="TableParagraph"/>
              <w:spacing w:line="209" w:lineRule="exact" w:before="1"/>
              <w:ind w:left="815"/>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Resolución del ganador</w:t>
            </w:r>
          </w:p>
        </w:tc>
        <w:tc>
          <w:tcPr>
            <w:tcW w:w="4492" w:type="dxa"/>
          </w:tcPr>
          <w:p>
            <w:pPr>
              <w:pStyle w:val="TableParagraph"/>
              <w:spacing w:line="227" w:lineRule="exact"/>
              <w:rPr>
                <w:sz w:val="18"/>
              </w:rPr>
            </w:pPr>
            <w:r>
              <w:rPr>
                <w:sz w:val="18"/>
              </w:rPr>
              <w:t>Desde la fecha de apertura de propuestas o hasta 20</w:t>
            </w:r>
          </w:p>
          <w:p>
            <w:pPr>
              <w:pStyle w:val="TableParagraph"/>
              <w:spacing w:line="211" w:lineRule="exact"/>
              <w:rPr>
                <w:sz w:val="18"/>
              </w:rPr>
            </w:pPr>
            <w:r>
              <w:rPr>
                <w:sz w:val="18"/>
              </w:rPr>
              <w:t>días posteriores</w:t>
            </w:r>
          </w:p>
        </w:tc>
      </w:tr>
    </w:tbl>
    <w:p>
      <w:pPr>
        <w:pStyle w:val="BodyText"/>
        <w:spacing w:before="11"/>
        <w:ind w:left="0"/>
        <w:jc w:val="left"/>
        <w:rPr>
          <w:sz w:val="24"/>
        </w:rPr>
      </w:pPr>
    </w:p>
    <w:p>
      <w:pPr>
        <w:pStyle w:val="Title"/>
      </w:pPr>
      <w:r>
        <w:rPr/>
        <w:t>Contenido</w:t>
      </w:r>
    </w:p>
    <w:p>
      <w:pPr>
        <w:pStyle w:val="BodyText"/>
        <w:spacing w:before="12"/>
        <w:ind w:left="0"/>
        <w:jc w:val="left"/>
        <w:rPr>
          <w:b/>
          <w:sz w:val="19"/>
        </w:rPr>
      </w:pPr>
    </w:p>
    <w:tbl>
      <w:tblPr>
        <w:tblW w:w="0" w:type="auto"/>
        <w:jc w:val="left"/>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0"/>
        <w:gridCol w:w="1345"/>
        <w:gridCol w:w="1685"/>
        <w:gridCol w:w="4746"/>
      </w:tblGrid>
      <w:tr>
        <w:trPr>
          <w:trHeight w:val="499" w:hRule="atLeast"/>
        </w:trPr>
        <w:tc>
          <w:tcPr>
            <w:tcW w:w="1150" w:type="dxa"/>
          </w:tcPr>
          <w:p>
            <w:pPr>
              <w:pStyle w:val="TableParagraph"/>
              <w:spacing w:before="144"/>
              <w:ind w:left="207" w:right="201"/>
              <w:jc w:val="center"/>
              <w:rPr>
                <w:b/>
                <w:sz w:val="16"/>
              </w:rPr>
            </w:pPr>
            <w:r>
              <w:rPr>
                <w:b/>
                <w:sz w:val="16"/>
              </w:rPr>
              <w:t>PARTIDA</w:t>
            </w:r>
          </w:p>
        </w:tc>
        <w:tc>
          <w:tcPr>
            <w:tcW w:w="1345" w:type="dxa"/>
          </w:tcPr>
          <w:p>
            <w:pPr>
              <w:pStyle w:val="TableParagraph"/>
              <w:spacing w:before="144"/>
              <w:ind w:left="232" w:right="231"/>
              <w:jc w:val="center"/>
              <w:rPr>
                <w:b/>
                <w:sz w:val="16"/>
              </w:rPr>
            </w:pPr>
            <w:r>
              <w:rPr>
                <w:b/>
                <w:sz w:val="16"/>
              </w:rPr>
              <w:t>CANTIDAD</w:t>
            </w:r>
          </w:p>
        </w:tc>
        <w:tc>
          <w:tcPr>
            <w:tcW w:w="1685" w:type="dxa"/>
          </w:tcPr>
          <w:p>
            <w:pPr>
              <w:pStyle w:val="TableParagraph"/>
              <w:spacing w:before="43"/>
              <w:ind w:left="519" w:right="372" w:hanging="125"/>
              <w:rPr>
                <w:b/>
                <w:sz w:val="16"/>
              </w:rPr>
            </w:pPr>
            <w:r>
              <w:rPr>
                <w:b/>
                <w:sz w:val="16"/>
              </w:rPr>
              <w:t>UNIDAD DE MEDIDA</w:t>
            </w:r>
          </w:p>
        </w:tc>
        <w:tc>
          <w:tcPr>
            <w:tcW w:w="4746" w:type="dxa"/>
          </w:tcPr>
          <w:p>
            <w:pPr>
              <w:pStyle w:val="TableParagraph"/>
              <w:spacing w:before="144"/>
              <w:ind w:left="1827" w:right="1824"/>
              <w:jc w:val="center"/>
              <w:rPr>
                <w:b/>
                <w:sz w:val="16"/>
              </w:rPr>
            </w:pPr>
            <w:r>
              <w:rPr>
                <w:b/>
                <w:sz w:val="16"/>
              </w:rPr>
              <w:t>DESCRIPCIÓN</w:t>
            </w:r>
          </w:p>
        </w:tc>
      </w:tr>
      <w:tr>
        <w:trPr>
          <w:trHeight w:val="1144" w:hRule="atLeast"/>
        </w:trPr>
        <w:tc>
          <w:tcPr>
            <w:tcW w:w="1150" w:type="dxa"/>
          </w:tcPr>
          <w:p>
            <w:pPr>
              <w:pStyle w:val="TableParagraph"/>
              <w:ind w:left="0"/>
              <w:rPr>
                <w:b/>
                <w:sz w:val="22"/>
              </w:rPr>
            </w:pPr>
          </w:p>
          <w:p>
            <w:pPr>
              <w:pStyle w:val="TableParagraph"/>
              <w:spacing w:before="177"/>
              <w:ind w:left="7"/>
              <w:jc w:val="center"/>
              <w:rPr>
                <w:sz w:val="18"/>
              </w:rPr>
            </w:pPr>
            <w:r>
              <w:rPr>
                <w:sz w:val="18"/>
              </w:rPr>
              <w:t>1</w:t>
            </w:r>
          </w:p>
        </w:tc>
        <w:tc>
          <w:tcPr>
            <w:tcW w:w="1345" w:type="dxa"/>
          </w:tcPr>
          <w:p>
            <w:pPr>
              <w:pStyle w:val="TableParagraph"/>
              <w:ind w:left="0"/>
              <w:rPr>
                <w:b/>
                <w:sz w:val="22"/>
              </w:rPr>
            </w:pPr>
          </w:p>
          <w:p>
            <w:pPr>
              <w:pStyle w:val="TableParagraph"/>
              <w:spacing w:before="177"/>
              <w:ind w:left="230" w:right="231"/>
              <w:jc w:val="center"/>
              <w:rPr>
                <w:sz w:val="18"/>
              </w:rPr>
            </w:pPr>
            <w:r>
              <w:rPr>
                <w:sz w:val="18"/>
              </w:rPr>
              <w:t>72</w:t>
            </w:r>
          </w:p>
        </w:tc>
        <w:tc>
          <w:tcPr>
            <w:tcW w:w="1685" w:type="dxa"/>
          </w:tcPr>
          <w:p>
            <w:pPr>
              <w:pStyle w:val="TableParagraph"/>
              <w:ind w:left="0"/>
              <w:rPr>
                <w:b/>
                <w:sz w:val="22"/>
              </w:rPr>
            </w:pPr>
          </w:p>
          <w:p>
            <w:pPr>
              <w:pStyle w:val="TableParagraph"/>
              <w:spacing w:before="177"/>
              <w:ind w:left="614" w:right="609"/>
              <w:jc w:val="center"/>
              <w:rPr>
                <w:sz w:val="18"/>
              </w:rPr>
            </w:pPr>
            <w:r>
              <w:rPr>
                <w:sz w:val="18"/>
              </w:rPr>
              <w:t>Pieza</w:t>
            </w:r>
          </w:p>
        </w:tc>
        <w:tc>
          <w:tcPr>
            <w:tcW w:w="4746" w:type="dxa"/>
          </w:tcPr>
          <w:p>
            <w:pPr>
              <w:pStyle w:val="TableParagraph"/>
              <w:spacing w:before="10"/>
              <w:ind w:left="0"/>
              <w:rPr>
                <w:b/>
                <w:sz w:val="17"/>
              </w:rPr>
            </w:pPr>
          </w:p>
          <w:p>
            <w:pPr>
              <w:pStyle w:val="TableParagraph"/>
              <w:ind w:left="68"/>
              <w:rPr>
                <w:sz w:val="18"/>
              </w:rPr>
            </w:pPr>
            <w:r>
              <w:rPr>
                <w:color w:val="2E2D2D"/>
                <w:sz w:val="18"/>
              </w:rPr>
              <w:t>Tablones: 2.40 metros de largo por 75 cm de ancho y 75 cm de alto.</w:t>
            </w:r>
          </w:p>
          <w:p>
            <w:pPr>
              <w:pStyle w:val="TableParagraph"/>
              <w:spacing w:before="1"/>
              <w:ind w:left="118"/>
              <w:rPr>
                <w:sz w:val="18"/>
              </w:rPr>
            </w:pPr>
            <w:r>
              <w:rPr>
                <w:color w:val="2E2D2D"/>
                <w:sz w:val="18"/>
              </w:rPr>
              <w:t>(Protector de plástico en la base de las patas).</w:t>
            </w:r>
          </w:p>
        </w:tc>
      </w:tr>
      <w:tr>
        <w:trPr>
          <w:trHeight w:val="496" w:hRule="atLeast"/>
        </w:trPr>
        <w:tc>
          <w:tcPr>
            <w:tcW w:w="1150" w:type="dxa"/>
          </w:tcPr>
          <w:p>
            <w:pPr>
              <w:pStyle w:val="TableParagraph"/>
              <w:spacing w:before="133"/>
              <w:ind w:left="7"/>
              <w:jc w:val="center"/>
              <w:rPr>
                <w:sz w:val="18"/>
              </w:rPr>
            </w:pPr>
            <w:r>
              <w:rPr>
                <w:sz w:val="18"/>
              </w:rPr>
              <w:t>2</w:t>
            </w:r>
          </w:p>
        </w:tc>
        <w:tc>
          <w:tcPr>
            <w:tcW w:w="1345" w:type="dxa"/>
          </w:tcPr>
          <w:p>
            <w:pPr>
              <w:pStyle w:val="TableParagraph"/>
              <w:spacing w:before="133"/>
              <w:ind w:left="230" w:right="231"/>
              <w:jc w:val="center"/>
              <w:rPr>
                <w:sz w:val="18"/>
              </w:rPr>
            </w:pPr>
            <w:r>
              <w:rPr>
                <w:sz w:val="18"/>
              </w:rPr>
              <w:t>72</w:t>
            </w:r>
          </w:p>
        </w:tc>
        <w:tc>
          <w:tcPr>
            <w:tcW w:w="1685" w:type="dxa"/>
          </w:tcPr>
          <w:p>
            <w:pPr>
              <w:pStyle w:val="TableParagraph"/>
              <w:spacing w:before="133"/>
              <w:ind w:left="614" w:right="609"/>
              <w:jc w:val="center"/>
              <w:rPr>
                <w:sz w:val="18"/>
              </w:rPr>
            </w:pPr>
            <w:r>
              <w:rPr>
                <w:sz w:val="18"/>
              </w:rPr>
              <w:t>Pieza</w:t>
            </w:r>
          </w:p>
        </w:tc>
        <w:tc>
          <w:tcPr>
            <w:tcW w:w="4746" w:type="dxa"/>
          </w:tcPr>
          <w:p>
            <w:pPr>
              <w:pStyle w:val="TableParagraph"/>
              <w:tabs>
                <w:tab w:pos="2588" w:val="left" w:leader="none"/>
              </w:tabs>
              <w:spacing w:line="230" w:lineRule="atLeast" w:before="16"/>
              <w:ind w:left="68" w:right="62"/>
              <w:rPr>
                <w:sz w:val="18"/>
              </w:rPr>
            </w:pPr>
            <w:r>
              <w:rPr>
                <w:color w:val="2E2D2D"/>
                <w:sz w:val="18"/>
              </w:rPr>
              <w:t>Manteles   blancos</w:t>
            </w:r>
            <w:r>
              <w:rPr>
                <w:color w:val="2E2D2D"/>
                <w:spacing w:val="41"/>
                <w:sz w:val="18"/>
              </w:rPr>
              <w:t> </w:t>
            </w:r>
            <w:r>
              <w:rPr>
                <w:color w:val="2E2D2D"/>
                <w:sz w:val="18"/>
              </w:rPr>
              <w:t>para </w:t>
            </w:r>
            <w:r>
              <w:rPr>
                <w:color w:val="2E2D2D"/>
                <w:spacing w:val="19"/>
                <w:sz w:val="18"/>
              </w:rPr>
              <w:t> </w:t>
            </w:r>
            <w:r>
              <w:rPr>
                <w:color w:val="2E2D2D"/>
                <w:sz w:val="18"/>
              </w:rPr>
              <w:t>los</w:t>
              <w:tab/>
              <w:t>tablones descritos en la partida</w:t>
            </w:r>
            <w:r>
              <w:rPr>
                <w:color w:val="2E2D2D"/>
                <w:spacing w:val="-1"/>
                <w:sz w:val="18"/>
              </w:rPr>
              <w:t> </w:t>
            </w:r>
            <w:r>
              <w:rPr>
                <w:color w:val="2E2D2D"/>
                <w:sz w:val="18"/>
              </w:rPr>
              <w:t>anterior.</w:t>
            </w:r>
          </w:p>
        </w:tc>
      </w:tr>
      <w:tr>
        <w:trPr>
          <w:trHeight w:val="498" w:hRule="atLeast"/>
        </w:trPr>
        <w:tc>
          <w:tcPr>
            <w:tcW w:w="1150" w:type="dxa"/>
          </w:tcPr>
          <w:p>
            <w:pPr>
              <w:pStyle w:val="TableParagraph"/>
              <w:spacing w:before="133"/>
              <w:ind w:left="7"/>
              <w:jc w:val="center"/>
              <w:rPr>
                <w:sz w:val="18"/>
              </w:rPr>
            </w:pPr>
            <w:r>
              <w:rPr>
                <w:sz w:val="18"/>
              </w:rPr>
              <w:t>3</w:t>
            </w:r>
          </w:p>
        </w:tc>
        <w:tc>
          <w:tcPr>
            <w:tcW w:w="1345" w:type="dxa"/>
          </w:tcPr>
          <w:p>
            <w:pPr>
              <w:pStyle w:val="TableParagraph"/>
              <w:spacing w:before="133"/>
              <w:ind w:left="230" w:right="231"/>
              <w:jc w:val="center"/>
              <w:rPr>
                <w:sz w:val="18"/>
              </w:rPr>
            </w:pPr>
            <w:r>
              <w:rPr>
                <w:sz w:val="18"/>
              </w:rPr>
              <w:t>400</w:t>
            </w:r>
          </w:p>
        </w:tc>
        <w:tc>
          <w:tcPr>
            <w:tcW w:w="1685" w:type="dxa"/>
          </w:tcPr>
          <w:p>
            <w:pPr>
              <w:pStyle w:val="TableParagraph"/>
              <w:spacing w:before="133"/>
              <w:ind w:left="614" w:right="609"/>
              <w:jc w:val="center"/>
              <w:rPr>
                <w:sz w:val="18"/>
              </w:rPr>
            </w:pPr>
            <w:r>
              <w:rPr>
                <w:sz w:val="18"/>
              </w:rPr>
              <w:t>Pieza</w:t>
            </w:r>
          </w:p>
        </w:tc>
        <w:tc>
          <w:tcPr>
            <w:tcW w:w="4746" w:type="dxa"/>
          </w:tcPr>
          <w:p>
            <w:pPr>
              <w:pStyle w:val="TableParagraph"/>
              <w:spacing w:before="20"/>
              <w:ind w:left="68" w:right="62"/>
              <w:rPr>
                <w:sz w:val="18"/>
              </w:rPr>
            </w:pPr>
            <w:r>
              <w:rPr>
                <w:color w:val="2E2D2D"/>
                <w:sz w:val="18"/>
              </w:rPr>
              <w:t>Sillas plegables acojinadas. (Protector de plástico en la base de las patas).</w:t>
            </w:r>
          </w:p>
        </w:tc>
      </w:tr>
      <w:tr>
        <w:trPr>
          <w:trHeight w:val="916" w:hRule="atLeast"/>
        </w:trPr>
        <w:tc>
          <w:tcPr>
            <w:tcW w:w="8926" w:type="dxa"/>
            <w:gridSpan w:val="4"/>
          </w:tcPr>
          <w:p>
            <w:pPr>
              <w:pStyle w:val="TableParagraph"/>
              <w:ind w:left="93" w:right="91" w:firstLine="5"/>
              <w:jc w:val="center"/>
              <w:rPr>
                <w:sz w:val="18"/>
              </w:rPr>
            </w:pPr>
            <w:r>
              <w:rPr>
                <w:color w:val="2E2D2D"/>
                <w:sz w:val="18"/>
              </w:rPr>
              <w:t>Se solicita el arrendamiento de lo anterior para el torneo Mueve tus Piezas 2019, los días 25 y 26 de mayo de 2019</w:t>
            </w:r>
            <w:r>
              <w:rPr>
                <w:color w:val="2E2D2D"/>
                <w:spacing w:val="-4"/>
                <w:sz w:val="18"/>
              </w:rPr>
              <w:t> </w:t>
            </w:r>
            <w:r>
              <w:rPr>
                <w:color w:val="2E2D2D"/>
                <w:sz w:val="18"/>
              </w:rPr>
              <w:t>en</w:t>
            </w:r>
            <w:r>
              <w:rPr>
                <w:color w:val="2E2D2D"/>
                <w:spacing w:val="-4"/>
                <w:sz w:val="18"/>
              </w:rPr>
              <w:t> </w:t>
            </w:r>
            <w:r>
              <w:rPr>
                <w:color w:val="2E2D2D"/>
                <w:sz w:val="18"/>
              </w:rPr>
              <w:t>el</w:t>
            </w:r>
            <w:r>
              <w:rPr>
                <w:color w:val="2E2D2D"/>
                <w:spacing w:val="-3"/>
                <w:sz w:val="18"/>
              </w:rPr>
              <w:t> </w:t>
            </w:r>
            <w:r>
              <w:rPr>
                <w:color w:val="2E2D2D"/>
                <w:sz w:val="18"/>
              </w:rPr>
              <w:t>Salón</w:t>
            </w:r>
            <w:r>
              <w:rPr>
                <w:color w:val="2E2D2D"/>
                <w:spacing w:val="-4"/>
                <w:sz w:val="18"/>
              </w:rPr>
              <w:t> </w:t>
            </w:r>
            <w:r>
              <w:rPr>
                <w:color w:val="2E2D2D"/>
                <w:sz w:val="18"/>
              </w:rPr>
              <w:t>de</w:t>
            </w:r>
            <w:r>
              <w:rPr>
                <w:color w:val="2E2D2D"/>
                <w:spacing w:val="-2"/>
                <w:sz w:val="18"/>
              </w:rPr>
              <w:t> </w:t>
            </w:r>
            <w:r>
              <w:rPr>
                <w:color w:val="2E2D2D"/>
                <w:sz w:val="18"/>
              </w:rPr>
              <w:t>Usos</w:t>
            </w:r>
            <w:r>
              <w:rPr>
                <w:color w:val="2E2D2D"/>
                <w:spacing w:val="-2"/>
                <w:sz w:val="18"/>
              </w:rPr>
              <w:t> </w:t>
            </w:r>
            <w:r>
              <w:rPr>
                <w:color w:val="2E2D2D"/>
                <w:sz w:val="18"/>
              </w:rPr>
              <w:t>Múltiples</w:t>
            </w:r>
            <w:r>
              <w:rPr>
                <w:color w:val="2E2D2D"/>
                <w:spacing w:val="-2"/>
                <w:sz w:val="18"/>
              </w:rPr>
              <w:t> </w:t>
            </w:r>
            <w:r>
              <w:rPr>
                <w:color w:val="2E2D2D"/>
                <w:sz w:val="18"/>
              </w:rPr>
              <w:t>del</w:t>
            </w:r>
            <w:r>
              <w:rPr>
                <w:color w:val="2E2D2D"/>
                <w:spacing w:val="-3"/>
                <w:sz w:val="18"/>
              </w:rPr>
              <w:t> </w:t>
            </w:r>
            <w:r>
              <w:rPr>
                <w:color w:val="2E2D2D"/>
                <w:sz w:val="18"/>
              </w:rPr>
              <w:t>CAT,</w:t>
            </w:r>
            <w:r>
              <w:rPr>
                <w:color w:val="2E2D2D"/>
                <w:spacing w:val="-3"/>
                <w:sz w:val="18"/>
              </w:rPr>
              <w:t> </w:t>
            </w:r>
            <w:r>
              <w:rPr>
                <w:color w:val="2E2D2D"/>
                <w:sz w:val="18"/>
              </w:rPr>
              <w:t>en</w:t>
            </w:r>
            <w:r>
              <w:rPr>
                <w:color w:val="2E2D2D"/>
                <w:spacing w:val="-4"/>
                <w:sz w:val="18"/>
              </w:rPr>
              <w:t> </w:t>
            </w:r>
            <w:r>
              <w:rPr>
                <w:color w:val="2E2D2D"/>
                <w:sz w:val="18"/>
              </w:rPr>
              <w:t>Tlajomulco</w:t>
            </w:r>
            <w:r>
              <w:rPr>
                <w:color w:val="2E2D2D"/>
                <w:spacing w:val="-1"/>
                <w:sz w:val="18"/>
              </w:rPr>
              <w:t> </w:t>
            </w:r>
            <w:r>
              <w:rPr>
                <w:color w:val="2E2D2D"/>
                <w:sz w:val="18"/>
              </w:rPr>
              <w:t>de</w:t>
            </w:r>
            <w:r>
              <w:rPr>
                <w:color w:val="2E2D2D"/>
                <w:spacing w:val="-1"/>
                <w:sz w:val="18"/>
              </w:rPr>
              <w:t> </w:t>
            </w:r>
            <w:r>
              <w:rPr>
                <w:color w:val="2E2D2D"/>
                <w:sz w:val="18"/>
              </w:rPr>
              <w:t>Zúñiga,</w:t>
            </w:r>
            <w:r>
              <w:rPr>
                <w:color w:val="2E2D2D"/>
                <w:spacing w:val="-4"/>
                <w:sz w:val="18"/>
              </w:rPr>
              <w:t> </w:t>
            </w:r>
            <w:r>
              <w:rPr>
                <w:color w:val="2E2D2D"/>
                <w:sz w:val="18"/>
              </w:rPr>
              <w:t>es</w:t>
            </w:r>
            <w:r>
              <w:rPr>
                <w:color w:val="2E2D2D"/>
                <w:spacing w:val="-2"/>
                <w:sz w:val="18"/>
              </w:rPr>
              <w:t> </w:t>
            </w:r>
            <w:r>
              <w:rPr>
                <w:color w:val="2E2D2D"/>
                <w:sz w:val="18"/>
              </w:rPr>
              <w:t>necesario</w:t>
            </w:r>
            <w:r>
              <w:rPr>
                <w:color w:val="2E2D2D"/>
                <w:spacing w:val="-3"/>
                <w:sz w:val="18"/>
              </w:rPr>
              <w:t> </w:t>
            </w:r>
            <w:r>
              <w:rPr>
                <w:color w:val="2E2D2D"/>
                <w:sz w:val="18"/>
              </w:rPr>
              <w:t>que</w:t>
            </w:r>
            <w:r>
              <w:rPr>
                <w:color w:val="2E2D2D"/>
                <w:spacing w:val="-3"/>
                <w:sz w:val="18"/>
              </w:rPr>
              <w:t> </w:t>
            </w:r>
            <w:r>
              <w:rPr>
                <w:color w:val="2E2D2D"/>
                <w:sz w:val="18"/>
              </w:rPr>
              <w:t>tanto</w:t>
            </w:r>
            <w:r>
              <w:rPr>
                <w:color w:val="2E2D2D"/>
                <w:spacing w:val="-2"/>
                <w:sz w:val="18"/>
              </w:rPr>
              <w:t> </w:t>
            </w:r>
            <w:r>
              <w:rPr>
                <w:color w:val="2E2D2D"/>
                <w:sz w:val="18"/>
              </w:rPr>
              <w:t>las</w:t>
            </w:r>
            <w:r>
              <w:rPr>
                <w:color w:val="2E2D2D"/>
                <w:spacing w:val="-1"/>
                <w:sz w:val="18"/>
              </w:rPr>
              <w:t> </w:t>
            </w:r>
            <w:r>
              <w:rPr>
                <w:color w:val="2E2D2D"/>
                <w:sz w:val="18"/>
              </w:rPr>
              <w:t>mezas</w:t>
            </w:r>
            <w:r>
              <w:rPr>
                <w:color w:val="2E2D2D"/>
                <w:spacing w:val="-5"/>
                <w:sz w:val="18"/>
              </w:rPr>
              <w:t> </w:t>
            </w:r>
            <w:r>
              <w:rPr>
                <w:color w:val="2E2D2D"/>
                <w:sz w:val="18"/>
              </w:rPr>
              <w:t>y</w:t>
            </w:r>
            <w:r>
              <w:rPr>
                <w:color w:val="2E2D2D"/>
                <w:spacing w:val="-3"/>
                <w:sz w:val="18"/>
              </w:rPr>
              <w:t> </w:t>
            </w:r>
            <w:r>
              <w:rPr>
                <w:color w:val="2E2D2D"/>
                <w:sz w:val="18"/>
              </w:rPr>
              <w:t>sillas deberán contar con protector de plástico en las bases de las</w:t>
            </w:r>
            <w:r>
              <w:rPr>
                <w:color w:val="2E2D2D"/>
                <w:spacing w:val="-6"/>
                <w:sz w:val="18"/>
              </w:rPr>
              <w:t> </w:t>
            </w:r>
            <w:r>
              <w:rPr>
                <w:color w:val="2E2D2D"/>
                <w:sz w:val="18"/>
              </w:rPr>
              <w:t>patas.</w:t>
            </w:r>
          </w:p>
        </w:tc>
      </w:tr>
    </w:tbl>
    <w:p>
      <w:pPr>
        <w:pStyle w:val="BodyText"/>
        <w:spacing w:before="4"/>
        <w:ind w:left="0"/>
        <w:jc w:val="left"/>
        <w:rPr>
          <w:b/>
          <w:sz w:val="36"/>
        </w:rPr>
      </w:pPr>
    </w:p>
    <w:p>
      <w:pPr>
        <w:spacing w:line="276" w:lineRule="auto" w:before="0"/>
        <w:ind w:left="222" w:right="197" w:firstLine="0"/>
        <w:jc w:val="both"/>
        <w:rPr>
          <w:b/>
          <w:sz w:val="18"/>
        </w:rPr>
      </w:pPr>
      <w:r>
        <w:rPr>
          <w:b/>
          <w:sz w:val="18"/>
        </w:rPr>
        <w:t>Primera licitación publicada el día 03 de mayo de 2019 y vencida el día 13 de mayo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spacing w:after="0" w:line="276" w:lineRule="auto"/>
        <w:jc w:val="both"/>
        <w:rPr>
          <w:sz w:val="18"/>
        </w:rPr>
        <w:sectPr>
          <w:headerReference w:type="default" r:id="rId5"/>
          <w:footerReference w:type="default" r:id="rId6"/>
          <w:type w:val="continuous"/>
          <w:pgSz w:w="12240" w:h="15840"/>
          <w:pgMar w:header="312" w:footer="775" w:top="1320" w:bottom="960" w:left="1480" w:right="1500"/>
        </w:sectPr>
      </w:pPr>
    </w:p>
    <w:p>
      <w:pPr>
        <w:pStyle w:val="BodyText"/>
        <w:spacing w:line="278" w:lineRule="auto" w:before="89"/>
        <w:ind w:right="201"/>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3"/>
        <w:ind w:right="206"/>
      </w:pPr>
      <w:r>
        <w:rPr/>
        <w:t>La compra de lo adjudicado no será mayor de acuerdo con el tope presupuestal del ejercicio en curso.</w:t>
      </w:r>
    </w:p>
    <w:p>
      <w:pPr>
        <w:pStyle w:val="BodyText"/>
        <w:spacing w:line="278" w:lineRule="auto"/>
        <w:ind w:right="208" w:firstLine="55"/>
      </w:pPr>
      <w:r>
        <w:rPr/>
        <w:t>1.- Los invitamos a registrarse en nuestro Padrón de Proveedores, información al teléfono 32834400 ext.</w:t>
      </w:r>
      <w:r>
        <w:rPr>
          <w:spacing w:val="-2"/>
        </w:rPr>
        <w:t> </w:t>
      </w:r>
      <w:r>
        <w:rPr/>
        <w:t>3260</w:t>
      </w:r>
    </w:p>
    <w:p>
      <w:pPr>
        <w:pStyle w:val="BodyText"/>
        <w:spacing w:line="276" w:lineRule="auto"/>
        <w:ind w:right="203"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1"/>
        <w:ind w:right="204"/>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1"/>
        <w:ind w:right="202"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205"/>
      </w:pPr>
      <w:r>
        <w:rPr/>
        <w:t>5.- El precio del bien o servicio objeto de la presente invitación, deberá estar especificado en moneda nacional, desglosando el I.V.A.</w:t>
      </w:r>
    </w:p>
    <w:p>
      <w:pPr>
        <w:pStyle w:val="BodyText"/>
        <w:spacing w:line="278" w:lineRule="auto"/>
        <w:ind w:right="207" w:firstLine="55"/>
      </w:pPr>
      <w:r>
        <w:rPr/>
        <w:t>6.- Detallar claramente las especificaciones de lo ofertado, el tiempo de entrega en días naturales y la garantía con la que cuentan.</w:t>
      </w:r>
    </w:p>
    <w:p>
      <w:pPr>
        <w:pStyle w:val="BodyText"/>
        <w:spacing w:line="278" w:lineRule="auto"/>
        <w:ind w:right="208"/>
      </w:pPr>
      <w:r>
        <w:rPr/>
        <w:t>7.- Los conceptos y partidas de la cotización deberán ser en el mismo orden que se establezcan en la convocatoria. Así como en la factura de quien resulte adjudicado.</w:t>
      </w:r>
    </w:p>
    <w:p>
      <w:pPr>
        <w:pStyle w:val="BodyText"/>
        <w:spacing w:line="278" w:lineRule="auto"/>
        <w:ind w:right="21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before="1"/>
        <w:ind w:right="202"/>
      </w:pPr>
      <w:r>
        <w:rPr/>
        <w:t>10.- En caso de obtener la adjudicación, se le notificará que los bienes o servicios objeto de la presente Licitación le podrán ser adjudicados de manera parcial o total.</w:t>
      </w:r>
    </w:p>
    <w:p>
      <w:pPr>
        <w:pStyle w:val="BodyText"/>
        <w:spacing w:line="278" w:lineRule="auto"/>
        <w:ind w:right="200"/>
      </w:pPr>
      <w:r>
        <w:rPr/>
        <w:t>11.- A manera de poder ser evaluada la propuesta, se DEBERÁ presentar ficha técnica, manuales, certificaciones y todos los documentos que comprueben la calidad ofertada.</w:t>
      </w:r>
    </w:p>
    <w:p>
      <w:pPr>
        <w:pStyle w:val="BodyText"/>
        <w:spacing w:line="276" w:lineRule="auto"/>
        <w:ind w:right="203"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w:t>
      </w:r>
    </w:p>
    <w:p>
      <w:pPr>
        <w:spacing w:after="0" w:line="276" w:lineRule="auto"/>
        <w:sectPr>
          <w:pgSz w:w="12240" w:h="15840"/>
          <w:pgMar w:header="312" w:footer="775" w:top="1320" w:bottom="960" w:left="1480" w:right="1500"/>
        </w:sectPr>
      </w:pPr>
    </w:p>
    <w:p>
      <w:pPr>
        <w:pStyle w:val="BodyText"/>
        <w:spacing w:line="278" w:lineRule="auto" w:before="89"/>
        <w:ind w:right="201"/>
      </w:pPr>
      <w:r>
        <w:rPr/>
        <w:t>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04896">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04384">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22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592" w:right="572"/>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7"/>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2021-10-21T16:41:58Z</dcterms:created>
  <dcterms:modified xsi:type="dcterms:W3CDTF">2021-10-21T16:41:58Z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Office Word 2007</vt:lpwstr>
  </property>
  <property fmtid="{D5CDD505-2E9C-101B-9397-08002B2CF9AE}" pid="4" name="LastSaved">
    <vt:filetime>2021-10-21T00:00:00Z</vt:filetime>
  </property>
</Properties>
</file>